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FEB" w14:textId="77777777" w:rsidR="00DF71C8" w:rsidRPr="00ED0A74" w:rsidRDefault="00DF71C8" w:rsidP="00DF71C8">
      <w:pPr>
        <w:pStyle w:val="Intestazione"/>
        <w:rPr>
          <w:rFonts w:ascii="Century Gothic" w:hAnsi="Century Gothic"/>
          <w:iCs/>
          <w:color w:val="595959"/>
          <w:sz w:val="40"/>
          <w:szCs w:val="40"/>
        </w:rPr>
      </w:pPr>
      <w:r w:rsidRPr="00ED0A74">
        <w:rPr>
          <w:rFonts w:ascii="Century Gothic" w:hAnsi="Century Gothic"/>
          <w:iCs/>
          <w:color w:val="595959"/>
          <w:sz w:val="40"/>
          <w:szCs w:val="40"/>
        </w:rPr>
        <w:t xml:space="preserve">VOCI DI CAPITOLATO   </w:t>
      </w:r>
      <w:r w:rsidR="00ED0A74" w:rsidRPr="00ED0A74">
        <w:rPr>
          <w:rFonts w:ascii="Gilroy Black" w:hAnsi="Gilroy Black"/>
          <w:b/>
          <w:noProof/>
          <w:color w:val="595959"/>
          <w:sz w:val="32"/>
          <w:szCs w:val="32"/>
        </w:rPr>
        <w:drawing>
          <wp:inline distT="0" distB="0" distL="0" distR="0" wp14:anchorId="0373E488" wp14:editId="1012D7F4">
            <wp:extent cx="337185" cy="172085"/>
            <wp:effectExtent l="0" t="0" r="0" b="0"/>
            <wp:docPr id="10" name="Immagine 209800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98001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8AFF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3BA01D32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088CE8B9" w14:textId="77777777" w:rsidR="00DF71C8" w:rsidRPr="00C67F4E" w:rsidRDefault="00DF71C8" w:rsidP="00DF71C8">
      <w:pPr>
        <w:rPr>
          <w:rFonts w:ascii="Century Gothic" w:hAnsi="Century Gothic"/>
        </w:rPr>
      </w:pPr>
    </w:p>
    <w:p w14:paraId="20C8C7B7" w14:textId="02FBAABE" w:rsidR="00DF71C8" w:rsidRPr="002146D0" w:rsidRDefault="00DF71C8" w:rsidP="00DF71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/>
          <w:sz w:val="26"/>
          <w:szCs w:val="26"/>
        </w:rPr>
      </w:pPr>
      <w:r w:rsidRPr="00ED0A74">
        <w:rPr>
          <w:rFonts w:ascii="Century Gothic" w:hAnsi="Century Gothic" w:cs="AppleSystemUIFont"/>
          <w:b/>
          <w:bCs/>
          <w:color w:val="595959"/>
          <w:sz w:val="26"/>
          <w:szCs w:val="26"/>
        </w:rPr>
        <w:t xml:space="preserve"> </w:t>
      </w:r>
      <w:r w:rsidR="002146D0"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Tubi e Raccordi fognatura</w:t>
      </w:r>
      <w:r w:rsidRPr="002146D0">
        <w:rPr>
          <w:rFonts w:ascii="Century Gothic" w:hAnsi="Century Gothic" w:cs="AppleSystemUIFont"/>
          <w:b/>
          <w:bCs/>
          <w:color w:val="595959" w:themeColor="text1" w:themeTint="A6"/>
          <w:sz w:val="26"/>
          <w:szCs w:val="26"/>
        </w:rPr>
        <w:t xml:space="preserve"> </w:t>
      </w:r>
    </w:p>
    <w:p w14:paraId="51A28E66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p w14:paraId="643DAD81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71C8" w:rsidRPr="00ED0A74" w14:paraId="2F2FCEF9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E86" w14:textId="77777777" w:rsidR="00DF71C8" w:rsidRPr="00ED0A74" w:rsidRDefault="00DF71C8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ED0A74">
              <w:rPr>
                <w:rFonts w:ascii="Century Gothic" w:hAnsi="Century Gothic"/>
              </w:rPr>
              <w:br w:type="page"/>
            </w:r>
            <w:r w:rsidRPr="00ED0A74">
              <w:rPr>
                <w:rFonts w:ascii="Century Gothic" w:hAnsi="Century Gothic"/>
                <w:b/>
              </w:rPr>
              <w:br w:type="page"/>
            </w:r>
          </w:p>
          <w:p w14:paraId="2B838C35" w14:textId="77777777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FORNITURA E POSA IN OPERA DI TUBI E RACCORDI DI PVC RIGIDO, ADATTI ALLA</w:t>
            </w:r>
          </w:p>
          <w:p w14:paraId="3F68CED0" w14:textId="2A6F7285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REALIZZAZIONE DI CONDOTTE DESTINATE AL CONVOGLIAMENTO DI REFLUI DI SCARICO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NON IN PRESSIONE, FOGNATURE CIVILI, INDUSTRIALI E AGRICOLE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br/>
            </w:r>
          </w:p>
          <w:p w14:paraId="5C6BE4C8" w14:textId="51700963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Le caratteristiche tecniche dei raccordi sono conformi alla normativa EN 1401, la gamma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dimensionale copre i diametri dal DN 110 al DN 630.</w:t>
            </w:r>
          </w:p>
          <w:p w14:paraId="3234AD3D" w14:textId="77777777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sistema di giunzione è di tipo a bicchiere con guarnizione di tenuta a labbro.</w:t>
            </w:r>
          </w:p>
          <w:p w14:paraId="189943C0" w14:textId="242EA9E9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Le giunzioni sono realizzate con guarnizioni a labbro amovibili costruite e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certificate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conformemente alle norme EN 681-1 e DIN 4060.</w:t>
            </w:r>
          </w:p>
          <w:p w14:paraId="03BFF9D2" w14:textId="77777777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4AC8E654" w14:textId="77777777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  <w:t>Tubi e raccordi dovranno essere marcati riportando:</w:t>
            </w:r>
          </w:p>
          <w:p w14:paraId="18390C98" w14:textId="77777777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  <w:t xml:space="preserve">- identificazione del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  <w:t>fabricante</w:t>
            </w:r>
            <w:proofErr w:type="spellEnd"/>
          </w:p>
          <w:p w14:paraId="5FA4E228" w14:textId="77777777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  <w:t>- l’organismo di certificazione del prodotto è accreditato dal Sincert (es. IIP o equivalente)</w:t>
            </w:r>
          </w:p>
          <w:p w14:paraId="5385088C" w14:textId="77777777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  <w:t>- riferimento alla norma EN 1401</w:t>
            </w:r>
          </w:p>
          <w:p w14:paraId="31A5D1E8" w14:textId="77777777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  <w:t>- codice di applicazione U o UD</w:t>
            </w:r>
          </w:p>
          <w:p w14:paraId="41726C1A" w14:textId="77777777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  <w:t>- materiale</w:t>
            </w:r>
          </w:p>
          <w:p w14:paraId="5DA9EB79" w14:textId="77777777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  <w:t>- dimensione nominale DN</w:t>
            </w:r>
          </w:p>
          <w:p w14:paraId="5ABB6C7A" w14:textId="77777777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  <w:t>- angolo nominale (sui raccordi)</w:t>
            </w:r>
          </w:p>
          <w:p w14:paraId="633D7742" w14:textId="77777777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2"/>
                <w:szCs w:val="22"/>
                <w:lang w:eastAsia="it-IT"/>
              </w:rPr>
              <w:t>- data di produzione</w:t>
            </w:r>
          </w:p>
          <w:p w14:paraId="5EE01793" w14:textId="77777777" w:rsidR="002146D0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68E2E6C2" w14:textId="408734FC" w:rsidR="00DF71C8" w:rsidRPr="002146D0" w:rsidRDefault="002146D0" w:rsidP="002146D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fabbricante delle tubazioni e dei raccordi dovrà, pena la non accettazione del materiale,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essere certificato per lo standard UNI EN ISO 9001.</w:t>
            </w:r>
          </w:p>
          <w:p w14:paraId="63BB9AD5" w14:textId="77777777" w:rsidR="00DF71C8" w:rsidRPr="00ED0A74" w:rsidRDefault="00DF71C8" w:rsidP="003F33C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</w:p>
        </w:tc>
      </w:tr>
    </w:tbl>
    <w:p w14:paraId="5F0CAEC4" w14:textId="77777777" w:rsidR="002146D0" w:rsidRDefault="002146D0" w:rsidP="00073DAC">
      <w:pPr>
        <w:pStyle w:val="Intestazione"/>
        <w:rPr>
          <w:rFonts w:ascii="Century Gothic" w:hAnsi="Century Gothic"/>
          <w:iCs/>
          <w:color w:val="404040"/>
          <w:sz w:val="40"/>
          <w:szCs w:val="40"/>
        </w:rPr>
        <w:sectPr w:rsidR="002146D0" w:rsidSect="00073DAC">
          <w:headerReference w:type="default" r:id="rId9"/>
          <w:footerReference w:type="default" r:id="rId10"/>
          <w:pgSz w:w="11900" w:h="16840"/>
          <w:pgMar w:top="454" w:right="720" w:bottom="720" w:left="720" w:header="340" w:footer="170" w:gutter="0"/>
          <w:cols w:space="708"/>
          <w:docGrid w:linePitch="360"/>
        </w:sectPr>
      </w:pPr>
    </w:p>
    <w:p w14:paraId="3369C792" w14:textId="04997F61" w:rsidR="00073DAC" w:rsidRPr="00ED0A74" w:rsidRDefault="00073DAC" w:rsidP="00073DAC">
      <w:pPr>
        <w:pStyle w:val="Intestazione"/>
        <w:rPr>
          <w:rFonts w:ascii="Century Gothic" w:hAnsi="Century Gothic"/>
          <w:iCs/>
          <w:color w:val="404040"/>
          <w:sz w:val="40"/>
          <w:szCs w:val="40"/>
          <w:lang w:val="en-US"/>
        </w:rPr>
      </w:pPr>
      <w:r w:rsidRPr="00ED0A74">
        <w:rPr>
          <w:rFonts w:ascii="Century Gothic" w:hAnsi="Century Gothic"/>
          <w:iCs/>
          <w:color w:val="404040"/>
          <w:sz w:val="40"/>
          <w:szCs w:val="40"/>
          <w:lang w:val="en-US"/>
        </w:rPr>
        <w:lastRenderedPageBreak/>
        <w:t xml:space="preserve">TENDER SPECIFICATIONS   </w:t>
      </w:r>
      <w:r w:rsidR="00ED0A74" w:rsidRPr="00ED0A74">
        <w:rPr>
          <w:rFonts w:ascii="Gilroy Black" w:hAnsi="Gilroy Black"/>
          <w:b/>
          <w:noProof/>
          <w:color w:val="00B0F0"/>
          <w:sz w:val="32"/>
          <w:szCs w:val="32"/>
        </w:rPr>
        <w:drawing>
          <wp:inline distT="0" distB="0" distL="0" distR="0" wp14:anchorId="3DF35500" wp14:editId="3B10C508">
            <wp:extent cx="299720" cy="194945"/>
            <wp:effectExtent l="0" t="0" r="0" b="0"/>
            <wp:docPr id="9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972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EDE6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09C883CC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6C74EAAB" w14:textId="77777777" w:rsidR="00073DAC" w:rsidRPr="00073DAC" w:rsidRDefault="00073DAC" w:rsidP="00073DAC">
      <w:pPr>
        <w:rPr>
          <w:rFonts w:ascii="Century Gothic" w:hAnsi="Century Gothic"/>
          <w:lang w:val="en-US"/>
        </w:rPr>
      </w:pPr>
    </w:p>
    <w:p w14:paraId="5C5B9FD9" w14:textId="5F6A0F1C" w:rsidR="00073DAC" w:rsidRPr="00ED0A74" w:rsidRDefault="00073DAC" w:rsidP="00073DA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color w:val="3B3838"/>
          <w:lang w:val="en-US"/>
        </w:rPr>
      </w:pPr>
      <w:r w:rsidRPr="00ED0A74">
        <w:rPr>
          <w:rFonts w:ascii="Century Gothic" w:hAnsi="Century Gothic" w:cs="AppleSystemUIFont"/>
          <w:b/>
          <w:bCs/>
          <w:color w:val="3B3838"/>
          <w:sz w:val="26"/>
          <w:szCs w:val="26"/>
          <w:lang w:val="en-US"/>
        </w:rPr>
        <w:t xml:space="preserve"> </w:t>
      </w:r>
      <w:r w:rsidR="002146D0" w:rsidRPr="002146D0">
        <w:rPr>
          <w:rFonts w:ascii="Century Gothic" w:hAnsi="Century Gothic" w:cs="AppleSystemUIFont"/>
          <w:b/>
          <w:bCs/>
          <w:color w:val="595959" w:themeColor="text1" w:themeTint="A6"/>
          <w:sz w:val="26"/>
          <w:szCs w:val="26"/>
          <w:lang w:val="en-US"/>
        </w:rPr>
        <w:t>Sewer fittings</w:t>
      </w:r>
    </w:p>
    <w:p w14:paraId="4210403E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p w14:paraId="047D6065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73DAC" w:rsidRPr="002146D0" w14:paraId="4DC8B121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C4F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lang w:val="en-US"/>
              </w:rPr>
            </w:pPr>
            <w:r w:rsidRPr="00ED0A74">
              <w:rPr>
                <w:rFonts w:ascii="Century Gothic" w:hAnsi="Century Gothic"/>
                <w:lang w:val="en-US"/>
              </w:rPr>
              <w:br w:type="page"/>
            </w:r>
            <w:r w:rsidRPr="00ED0A74">
              <w:rPr>
                <w:rFonts w:ascii="Century Gothic" w:hAnsi="Century Gothic"/>
                <w:b/>
                <w:lang w:val="en-US"/>
              </w:rPr>
              <w:br w:type="page"/>
            </w:r>
          </w:p>
          <w:p w14:paraId="566802DF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 xml:space="preserve">Made of PVC-U for </w:t>
            </w:r>
            <w:proofErr w:type="spellStart"/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non pressure</w:t>
            </w:r>
            <w:proofErr w:type="spellEnd"/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 xml:space="preserve"> underground drainage and sewage applications.</w:t>
            </w:r>
          </w:p>
          <w:p w14:paraId="6F4302D2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Application area code “U” and “UD” where applicable.</w:t>
            </w:r>
          </w:p>
          <w:p w14:paraId="78D01C02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Nominal ring stiffness and standard dimension ratio as specified in the Redi technical handbook.</w:t>
            </w:r>
          </w:p>
          <w:p w14:paraId="62CF8451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Product range from DN 110 up to DN 630 manufactured in compliance with the European Norm EN1401-1.</w:t>
            </w:r>
          </w:p>
          <w:p w14:paraId="4E14008D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Sealing lip-rings conform to EN681-1 and DIN4060</w:t>
            </w:r>
          </w:p>
          <w:p w14:paraId="7065F4FD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127490F6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u w:val="single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u w:val="single"/>
                <w:lang w:val="en-US"/>
              </w:rPr>
              <w:t>Marking:</w:t>
            </w:r>
          </w:p>
          <w:p w14:paraId="1CE9FB5F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- Manufacturer’s name</w:t>
            </w:r>
          </w:p>
          <w:p w14:paraId="575D225C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 xml:space="preserve">- Third party certification (where applicable) IIP, DIN, </w:t>
            </w:r>
            <w:proofErr w:type="gramStart"/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NF</w:t>
            </w:r>
            <w:proofErr w:type="gramEnd"/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 xml:space="preserve"> or BS</w:t>
            </w:r>
          </w:p>
          <w:p w14:paraId="2AFBFBC4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- Number of standard EN1401</w:t>
            </w:r>
          </w:p>
          <w:p w14:paraId="1FF6479A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- Application area code either U or UD</w:t>
            </w:r>
          </w:p>
          <w:p w14:paraId="462597AA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- Material either PVC-U, U-</w:t>
            </w:r>
            <w:proofErr w:type="gramStart"/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PVC</w:t>
            </w:r>
            <w:proofErr w:type="gramEnd"/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 xml:space="preserve"> or PVC</w:t>
            </w:r>
          </w:p>
          <w:p w14:paraId="2B3841DB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- Nominal angle for fittings only</w:t>
            </w:r>
          </w:p>
          <w:p w14:paraId="28433405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- Nominal size</w:t>
            </w:r>
          </w:p>
          <w:p w14:paraId="352F65E7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- Nominal ring stiffness or SDR</w:t>
            </w:r>
          </w:p>
          <w:p w14:paraId="766530B2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230A1E71" w14:textId="77777777" w:rsidR="002146D0" w:rsidRPr="002146D0" w:rsidRDefault="002146D0" w:rsidP="002146D0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color w:val="7F7F7F" w:themeColor="text1" w:themeTint="80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 w:cs="Helvetica"/>
                <w:color w:val="595959" w:themeColor="text1" w:themeTint="A6"/>
                <w:sz w:val="26"/>
                <w:szCs w:val="26"/>
                <w:lang w:val="en-US"/>
              </w:rPr>
              <w:t>Suppliers will attest that they have an ISO 9001 approved quality system in place as a condition for purchase</w:t>
            </w:r>
            <w:r w:rsidRPr="002146D0">
              <w:rPr>
                <w:rFonts w:ascii="Century Gothic" w:hAnsi="Century Gothic" w:cs="Helvetica"/>
                <w:color w:val="7F7F7F" w:themeColor="text1" w:themeTint="80"/>
                <w:sz w:val="26"/>
                <w:szCs w:val="26"/>
                <w:lang w:val="en-US"/>
              </w:rPr>
              <w:t>.</w:t>
            </w:r>
          </w:p>
          <w:p w14:paraId="6306C1A6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6"/>
                <w:szCs w:val="26"/>
                <w:lang w:val="en-US"/>
              </w:rPr>
            </w:pPr>
          </w:p>
          <w:p w14:paraId="153FDB31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  <w:lang w:val="en-US"/>
              </w:rPr>
            </w:pPr>
          </w:p>
        </w:tc>
      </w:tr>
    </w:tbl>
    <w:p w14:paraId="2C4A50D7" w14:textId="77777777" w:rsidR="002146D0" w:rsidRDefault="002146D0" w:rsidP="00073DAC">
      <w:pPr>
        <w:spacing w:line="360" w:lineRule="auto"/>
        <w:rPr>
          <w:rFonts w:ascii="Century Gothic" w:hAnsi="Century Gothic"/>
          <w:lang w:val="en-US"/>
        </w:rPr>
        <w:sectPr w:rsidR="002146D0" w:rsidSect="00073DAC">
          <w:pgSz w:w="11900" w:h="16840"/>
          <w:pgMar w:top="454" w:right="720" w:bottom="720" w:left="720" w:header="340" w:footer="170" w:gutter="0"/>
          <w:cols w:space="708"/>
          <w:docGrid w:linePitch="360"/>
        </w:sectPr>
      </w:pPr>
    </w:p>
    <w:p w14:paraId="4AA01661" w14:textId="3A0C119C" w:rsidR="00073DAC" w:rsidRPr="00ED0A74" w:rsidRDefault="00073DAC" w:rsidP="00073DAC">
      <w:pPr>
        <w:pStyle w:val="Intestazione"/>
        <w:rPr>
          <w:rFonts w:ascii="Century Gothic" w:hAnsi="Century Gothic"/>
          <w:iCs/>
          <w:color w:val="404040"/>
          <w:sz w:val="40"/>
          <w:szCs w:val="40"/>
          <w:lang w:val="en-US"/>
        </w:rPr>
      </w:pPr>
      <w:r w:rsidRPr="002146D0">
        <w:rPr>
          <w:rFonts w:ascii="Century Gothic" w:hAnsi="Century Gothic"/>
          <w:iCs/>
          <w:color w:val="595959" w:themeColor="text1" w:themeTint="A6"/>
          <w:sz w:val="40"/>
          <w:szCs w:val="40"/>
          <w:lang w:val="en-US"/>
        </w:rPr>
        <w:lastRenderedPageBreak/>
        <w:t xml:space="preserve">CAHIER DE CHARGES   </w:t>
      </w:r>
      <w:r w:rsidR="00ED0A74" w:rsidRPr="00ED0A74">
        <w:rPr>
          <w:rFonts w:ascii="Gilroy Black" w:hAnsi="Gilroy Black"/>
          <w:noProof/>
          <w:color w:val="00B0F0"/>
          <w:sz w:val="32"/>
          <w:szCs w:val="32"/>
        </w:rPr>
        <w:drawing>
          <wp:inline distT="0" distB="0" distL="0" distR="0" wp14:anchorId="0D638A31" wp14:editId="3EB93BD0">
            <wp:extent cx="344805" cy="179705"/>
            <wp:effectExtent l="0" t="0" r="0" b="0"/>
            <wp:docPr id="8" name="Immagin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76472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3725681E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311826BC" w14:textId="77777777" w:rsidR="00073DAC" w:rsidRPr="00073DAC" w:rsidRDefault="00073DAC" w:rsidP="00073DAC">
      <w:pPr>
        <w:rPr>
          <w:rFonts w:ascii="Century Gothic" w:hAnsi="Century Gothic"/>
          <w:lang w:val="en-US"/>
        </w:rPr>
      </w:pPr>
    </w:p>
    <w:p w14:paraId="0692B9FD" w14:textId="7798E864" w:rsidR="00073DAC" w:rsidRPr="002146D0" w:rsidRDefault="002146D0" w:rsidP="00073DA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</w:pPr>
      <w:r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Les tubes et </w:t>
      </w:r>
      <w:proofErr w:type="spellStart"/>
      <w:r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raccords</w:t>
      </w:r>
      <w:proofErr w:type="spellEnd"/>
      <w:r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pour </w:t>
      </w:r>
      <w:proofErr w:type="spellStart"/>
      <w:r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systèmes</w:t>
      </w:r>
      <w:proofErr w:type="spellEnd"/>
      <w:r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</w:t>
      </w:r>
      <w:proofErr w:type="spellStart"/>
      <w:r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d’évacuation</w:t>
      </w:r>
      <w:proofErr w:type="spellEnd"/>
      <w:r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</w:t>
      </w:r>
      <w:proofErr w:type="spellStart"/>
      <w:r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sont</w:t>
      </w:r>
      <w:proofErr w:type="spellEnd"/>
      <w:r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fait </w:t>
      </w:r>
      <w:proofErr w:type="spellStart"/>
      <w:r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en</w:t>
      </w:r>
      <w:proofErr w:type="spellEnd"/>
      <w:r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</w:t>
      </w:r>
      <w:proofErr w:type="spellStart"/>
      <w:r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PVC-U</w:t>
      </w:r>
      <w:r w:rsidR="000E64CF"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</w:t>
      </w:r>
    </w:p>
    <w:p w14:paraId="45F5E185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  <w:proofErr w:type="spellEnd"/>
    </w:p>
    <w:p w14:paraId="04D99784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73DAC" w:rsidRPr="002146D0" w14:paraId="6632224E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185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lang w:val="en-US"/>
              </w:rPr>
            </w:pPr>
            <w:r w:rsidRPr="00ED0A74">
              <w:rPr>
                <w:rFonts w:ascii="Century Gothic" w:hAnsi="Century Gothic"/>
                <w:lang w:val="en-US"/>
              </w:rPr>
              <w:br w:type="page"/>
            </w:r>
            <w:r w:rsidRPr="00ED0A74">
              <w:rPr>
                <w:rFonts w:ascii="Century Gothic" w:hAnsi="Century Gothic"/>
                <w:b/>
                <w:lang w:val="en-US"/>
              </w:rPr>
              <w:br w:type="page"/>
            </w:r>
          </w:p>
          <w:p w14:paraId="3446D2C6" w14:textId="77777777" w:rsidR="002146D0" w:rsidRPr="002146D0" w:rsidRDefault="002146D0" w:rsidP="002146D0">
            <w:pPr>
              <w:pStyle w:val="NormaleWeb"/>
              <w:spacing w:before="204" w:beforeAutospacing="0" w:after="204" w:afterAutospacing="0"/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Ils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sont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marqués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« U »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ou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« UD »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où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applicable. </w:t>
            </w:r>
          </w:p>
          <w:p w14:paraId="1C10B5C5" w14:textId="77777777" w:rsidR="002146D0" w:rsidRPr="002146D0" w:rsidRDefault="002146D0" w:rsidP="002146D0">
            <w:pPr>
              <w:pStyle w:val="NormaleWeb"/>
              <w:spacing w:before="204" w:beforeAutospacing="0" w:after="204" w:afterAutospacing="0"/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La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rigidité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nominale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du joint et les proportions standard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doivent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être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spécifiés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dans le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manuel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technique REDI,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conformes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à la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norme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EN1401 et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certifiés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par un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organisme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agrée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.</w:t>
            </w:r>
          </w:p>
          <w:p w14:paraId="481A171D" w14:textId="77777777" w:rsidR="002146D0" w:rsidRPr="002146D0" w:rsidRDefault="002146D0" w:rsidP="002146D0">
            <w:pPr>
              <w:pStyle w:val="NormaleWeb"/>
              <w:spacing w:before="204" w:beforeAutospacing="0" w:after="204" w:afterAutospacing="0"/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La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gamme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comprend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les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diamètres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de DN 110 à DN 630. Les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produits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sont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certifiés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EN1401.</w:t>
            </w:r>
          </w:p>
          <w:p w14:paraId="2BF5977E" w14:textId="77777777" w:rsidR="002146D0" w:rsidRPr="002146D0" w:rsidRDefault="002146D0" w:rsidP="002146D0">
            <w:pPr>
              <w:pStyle w:val="NormaleWeb"/>
              <w:spacing w:before="204" w:beforeAutospacing="0" w:after="204" w:afterAutospacing="0"/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Les joints à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lèvre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sont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certifiés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EN681-1.</w:t>
            </w:r>
          </w:p>
          <w:p w14:paraId="294D5917" w14:textId="4340CA86" w:rsidR="002146D0" w:rsidRPr="002146D0" w:rsidRDefault="002146D0" w:rsidP="002146D0">
            <w:pPr>
              <w:pStyle w:val="NormaleWeb"/>
              <w:spacing w:before="204" w:beforeAutospacing="0" w:after="204" w:afterAutospacing="0"/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val="en-US"/>
              </w:rPr>
            </w:pP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val="en-US"/>
              </w:rPr>
              <w:t>Marquage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val="en-US"/>
              </w:rPr>
              <w:t xml:space="preserve"> minimal pour les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val="en-US"/>
              </w:rPr>
              <w:t>raccords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val="en-US"/>
              </w:rPr>
              <w:t>:</w:t>
            </w:r>
          </w:p>
          <w:p w14:paraId="24C2447E" w14:textId="689483C2" w:rsidR="002146D0" w:rsidRPr="002146D0" w:rsidRDefault="002146D0" w:rsidP="002146D0">
            <w:pPr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-</w:t>
            </w: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Nom du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producteur</w:t>
            </w:r>
            <w:proofErr w:type="spellEnd"/>
          </w:p>
          <w:p w14:paraId="4BCA49D9" w14:textId="2FEB524B" w:rsidR="002146D0" w:rsidRPr="002146D0" w:rsidRDefault="002146D0" w:rsidP="002146D0">
            <w:pPr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- 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Marque de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qualité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(certifications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délivrées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par IIP, MPA etc.) EN1401</w:t>
            </w:r>
          </w:p>
          <w:p w14:paraId="2A7FECE4" w14:textId="0D20B658" w:rsidR="002146D0" w:rsidRPr="002146D0" w:rsidRDefault="002146D0" w:rsidP="002146D0">
            <w:pPr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- 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Champ </w:t>
            </w:r>
            <w:proofErr w:type="spellStart"/>
            <w:proofErr w:type="gram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d’application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:</w:t>
            </w:r>
            <w:proofErr w:type="gram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U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ou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UD</w:t>
            </w:r>
          </w:p>
          <w:p w14:paraId="08AF9F41" w14:textId="0A21C5A4" w:rsidR="002146D0" w:rsidRPr="002146D0" w:rsidRDefault="002146D0" w:rsidP="002146D0">
            <w:pPr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- 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Dimension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nominale</w:t>
            </w:r>
            <w:proofErr w:type="spellEnd"/>
          </w:p>
          <w:p w14:paraId="547D2B79" w14:textId="5FB09064" w:rsidR="002146D0" w:rsidRPr="002146D0" w:rsidRDefault="002146D0" w:rsidP="002146D0">
            <w:pPr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- </w:t>
            </w: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Angle nominal</w:t>
            </w:r>
          </w:p>
          <w:p w14:paraId="60F996E6" w14:textId="061DE0AC" w:rsidR="002146D0" w:rsidRPr="002146D0" w:rsidRDefault="002146D0" w:rsidP="002146D0">
            <w:pPr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-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Rigidité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 nominale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du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 joint</w:t>
            </w:r>
          </w:p>
          <w:p w14:paraId="621EDC81" w14:textId="77777777" w:rsidR="002146D0" w:rsidRPr="002146D0" w:rsidRDefault="002146D0" w:rsidP="002146D0">
            <w:pPr>
              <w:pStyle w:val="NormaleWeb"/>
              <w:spacing w:before="204" w:beforeAutospacing="0" w:after="204" w:afterAutospacing="0"/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La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qualité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du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produit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doit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être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>certifié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</w:rPr>
              <w:t xml:space="preserve"> ISO 9001.</w:t>
            </w:r>
          </w:p>
          <w:p w14:paraId="54FE30BB" w14:textId="77777777" w:rsidR="002146D0" w:rsidRPr="002146D0" w:rsidRDefault="002146D0" w:rsidP="002146D0">
            <w:pPr>
              <w:pStyle w:val="NormaleWeb"/>
              <w:spacing w:before="204" w:beforeAutospacing="0" w:after="204" w:afterAutospacing="0"/>
              <w:textAlignment w:val="baseline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</w:pPr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Le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système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de protection de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l’environnement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du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fournisseur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doit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être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>certifié</w:t>
            </w:r>
            <w:proofErr w:type="spellEnd"/>
            <w:r w:rsidRPr="002146D0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val="en-US"/>
              </w:rPr>
              <w:t xml:space="preserve"> ISO 14001.</w:t>
            </w:r>
          </w:p>
          <w:p w14:paraId="01E15E5D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6"/>
                <w:szCs w:val="26"/>
                <w:lang w:val="en-US"/>
              </w:rPr>
            </w:pPr>
          </w:p>
          <w:p w14:paraId="3DEDC883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  <w:lang w:val="en-US"/>
              </w:rPr>
            </w:pPr>
          </w:p>
        </w:tc>
      </w:tr>
    </w:tbl>
    <w:p w14:paraId="2C5AFD94" w14:textId="77777777" w:rsidR="00073DAC" w:rsidRPr="00073DAC" w:rsidRDefault="00073DAC" w:rsidP="00073DAC">
      <w:pPr>
        <w:spacing w:line="360" w:lineRule="auto"/>
        <w:rPr>
          <w:rFonts w:ascii="Century Gothic" w:hAnsi="Century Gothic"/>
          <w:lang w:val="en-US"/>
        </w:rPr>
      </w:pPr>
    </w:p>
    <w:p w14:paraId="39BED82E" w14:textId="77777777" w:rsidR="00073DAC" w:rsidRPr="00073DAC" w:rsidRDefault="00073DAC" w:rsidP="00073DAC">
      <w:pPr>
        <w:spacing w:line="360" w:lineRule="auto"/>
        <w:rPr>
          <w:rFonts w:ascii="Century Gothic" w:hAnsi="Century Gothic"/>
          <w:lang w:val="en-US"/>
        </w:rPr>
      </w:pPr>
    </w:p>
    <w:p w14:paraId="69782623" w14:textId="77777777" w:rsidR="00073DAC" w:rsidRDefault="00073DAC" w:rsidP="00073DAC">
      <w:pPr>
        <w:spacing w:line="360" w:lineRule="auto"/>
        <w:rPr>
          <w:rFonts w:ascii="Century Gothic" w:hAnsi="Century Gothic"/>
          <w:lang w:val="en-US"/>
        </w:rPr>
      </w:pPr>
    </w:p>
    <w:p w14:paraId="415C0D38" w14:textId="77777777" w:rsidR="00073DAC" w:rsidRPr="00073DAC" w:rsidRDefault="00073DAC" w:rsidP="00C67F4E">
      <w:pPr>
        <w:spacing w:line="360" w:lineRule="auto"/>
        <w:rPr>
          <w:rFonts w:ascii="Century Gothic" w:hAnsi="Century Gothic"/>
          <w:lang w:val="en-US"/>
        </w:rPr>
      </w:pPr>
    </w:p>
    <w:sectPr w:rsidR="00073DAC" w:rsidRPr="00073DAC" w:rsidSect="00073DAC">
      <w:pgSz w:w="11900" w:h="16840"/>
      <w:pgMar w:top="454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A478" w14:textId="77777777" w:rsidR="008525D8" w:rsidRDefault="008525D8" w:rsidP="00B00297">
      <w:r>
        <w:separator/>
      </w:r>
    </w:p>
  </w:endnote>
  <w:endnote w:type="continuationSeparator" w:id="0">
    <w:p w14:paraId="67A3C379" w14:textId="77777777" w:rsidR="008525D8" w:rsidRDefault="008525D8" w:rsidP="00B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roy Black"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27D" w14:textId="77777777" w:rsidR="00C67F4E" w:rsidRPr="00C67F4E" w:rsidRDefault="008525D8" w:rsidP="00C67F4E">
    <w:pPr>
      <w:rPr>
        <w:rFonts w:ascii="Century Gothic" w:hAnsi="Century Gothic"/>
      </w:rPr>
    </w:pPr>
    <w:r>
      <w:rPr>
        <w:rFonts w:ascii="Century Gothic" w:hAnsi="Century Gothic"/>
        <w:b/>
        <w:noProof/>
      </w:rPr>
      <w:pict w14:anchorId="0418C2A8">
        <v:rect id="_x0000_i1025" alt="" style="width:523pt;height:.05pt;mso-width-percent:0;mso-height-percent:0;mso-width-percent:0;mso-height-percent:0" o:hralign="center" o:hrstd="t" o:hr="t" fillcolor="#a0a0a0" stroked="f"/>
      </w:pict>
    </w:r>
  </w:p>
  <w:tbl>
    <w:tblPr>
      <w:tblpPr w:leftFromText="141" w:rightFromText="141" w:vertAnchor="text" w:horzAnchor="margin" w:tblpY="109"/>
      <w:tblW w:w="0" w:type="auto"/>
      <w:tblLook w:val="04A0" w:firstRow="1" w:lastRow="0" w:firstColumn="1" w:lastColumn="0" w:noHBand="0" w:noVBand="1"/>
    </w:tblPr>
    <w:tblGrid>
      <w:gridCol w:w="6064"/>
      <w:gridCol w:w="4396"/>
    </w:tblGrid>
    <w:tr w:rsidR="003F225D" w:rsidRPr="00ED0A74" w14:paraId="273107F1" w14:textId="77777777" w:rsidTr="00ED0A74">
      <w:tc>
        <w:tcPr>
          <w:tcW w:w="6064" w:type="dxa"/>
          <w:shd w:val="clear" w:color="auto" w:fill="auto"/>
          <w:vAlign w:val="center"/>
        </w:tcPr>
        <w:p w14:paraId="34594BD7" w14:textId="77777777" w:rsidR="00C67F4E" w:rsidRPr="00ED0A74" w:rsidRDefault="00C67F4E" w:rsidP="00ED0A74">
          <w:pPr>
            <w:pStyle w:val="Paragrafobase"/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</w:pPr>
          <w:r w:rsidRPr="00ED0A74">
            <w:rPr>
              <w:rFonts w:ascii="Century Gothic" w:eastAsia="Yu Mincho" w:hAnsi="Century Gothic" w:cs="Gilroy Bold"/>
              <w:b/>
              <w:bCs/>
              <w:color w:val="7F7F7F"/>
              <w:spacing w:val="2"/>
              <w:sz w:val="16"/>
              <w:szCs w:val="16"/>
              <w:lang w:eastAsia="ja-JP"/>
            </w:rPr>
            <w:t xml:space="preserve">REDI S.p.A. </w:t>
          </w:r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Via Madonna dei Prati 5/</w:t>
          </w:r>
          <w:proofErr w:type="gram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A  -</w:t>
          </w:r>
          <w:proofErr w:type="gram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 40069 ZOLA PREDOSA (BO - </w:t>
          </w:r>
          <w:proofErr w:type="spell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Italy</w:t>
          </w:r>
          <w:proofErr w:type="spell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) </w:t>
          </w:r>
        </w:p>
        <w:p w14:paraId="60BF3632" w14:textId="6519EC54" w:rsidR="00C67F4E" w:rsidRPr="00ED0A74" w:rsidRDefault="00C67F4E" w:rsidP="00ED0A74">
          <w:pPr>
            <w:rPr>
              <w:rFonts w:ascii="Century Gothic" w:hAnsi="Century Gothic"/>
              <w:color w:val="7F7F7F"/>
              <w:sz w:val="16"/>
              <w:szCs w:val="16"/>
            </w:rPr>
          </w:pPr>
          <w:r w:rsidRPr="00ED0A74">
            <w:rPr>
              <w:rFonts w:ascii="Century Gothic" w:hAnsi="Century Gothic" w:cs="Gilroy Light"/>
              <w:color w:val="7F7F7F"/>
              <w:spacing w:val="2"/>
              <w:sz w:val="16"/>
              <w:szCs w:val="16"/>
            </w:rPr>
            <w:t xml:space="preserve">info.redi@aliaxis.com - </w:t>
          </w:r>
          <w:proofErr w:type="gramStart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>infotecnico.redi@aliaxis.com  -</w:t>
          </w:r>
          <w:proofErr w:type="gramEnd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 xml:space="preserve"> 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www.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ali</w:t>
          </w:r>
          <w:r w:rsidR="002146D0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xis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.it</w:t>
          </w:r>
        </w:p>
        <w:p w14:paraId="228EF3C2" w14:textId="77777777" w:rsidR="00C67F4E" w:rsidRPr="00ED0A74" w:rsidRDefault="00C67F4E" w:rsidP="00ED0A74">
          <w:pPr>
            <w:rPr>
              <w:rFonts w:ascii="Century Gothic" w:hAnsi="Century Gothic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612A19EA" w14:textId="77777777" w:rsidR="00C67F4E" w:rsidRPr="00ED0A74" w:rsidRDefault="00ED0A74" w:rsidP="00ED0A74">
          <w:pPr>
            <w:jc w:val="right"/>
            <w:rPr>
              <w:rFonts w:ascii="Century Gothic" w:hAnsi="Century Gothic"/>
            </w:rPr>
          </w:pPr>
          <w:r w:rsidRPr="00ED0A74">
            <w:rPr>
              <w:rFonts w:ascii="Century Gothic" w:hAnsi="Century Gothic"/>
              <w:noProof/>
            </w:rPr>
            <w:drawing>
              <wp:inline distT="0" distB="0" distL="0" distR="0" wp14:anchorId="55A189D1" wp14:editId="31310320">
                <wp:extent cx="2420620" cy="539750"/>
                <wp:effectExtent l="0" t="0" r="0" b="0"/>
                <wp:docPr id="3" name="Immagine 1" descr="Immagine che contiene testo, Carattere, schermata, bianc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schermata, bianc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A6B8A" w14:textId="77777777" w:rsidR="00C67F4E" w:rsidRDefault="00C67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AE78" w14:textId="77777777" w:rsidR="008525D8" w:rsidRDefault="008525D8" w:rsidP="00B00297">
      <w:r>
        <w:separator/>
      </w:r>
    </w:p>
  </w:footnote>
  <w:footnote w:type="continuationSeparator" w:id="0">
    <w:p w14:paraId="6403D181" w14:textId="77777777" w:rsidR="008525D8" w:rsidRDefault="008525D8" w:rsidP="00B0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B526" w14:textId="77777777" w:rsidR="00DF71C8" w:rsidRPr="00C67F4E" w:rsidRDefault="00DF71C8" w:rsidP="00DF71C8">
    <w:pPr>
      <w:rPr>
        <w:rFonts w:ascii="Century Gothic" w:hAnsi="Century Gothic"/>
        <w:b/>
      </w:rPr>
    </w:pPr>
  </w:p>
  <w:p w14:paraId="610C5329" w14:textId="77777777" w:rsidR="00DF71C8" w:rsidRPr="00C67F4E" w:rsidRDefault="00ED0A74" w:rsidP="00DF71C8">
    <w:pPr>
      <w:pStyle w:val="Intestazione"/>
      <w:rPr>
        <w:rFonts w:ascii="Century Gothic" w:hAnsi="Century Gothic"/>
      </w:rPr>
    </w:pPr>
    <w:r w:rsidRPr="00ED0A74">
      <w:rPr>
        <w:rFonts w:ascii="Century Gothic" w:hAnsi="Century Gothic"/>
        <w:noProof/>
      </w:rPr>
      <w:drawing>
        <wp:inline distT="0" distB="0" distL="0" distR="0" wp14:anchorId="61C059B5" wp14:editId="2B3E66CC">
          <wp:extent cx="2877820" cy="165100"/>
          <wp:effectExtent l="0" t="0" r="0" b="0"/>
          <wp:docPr id="7" name="Immagine 753018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301860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C8" w:rsidRPr="00C67F4E">
      <w:rPr>
        <w:rFonts w:ascii="Century Gothic" w:hAnsi="Century Gothic"/>
        <w:b/>
        <w:color w:val="00B0F0"/>
        <w:sz w:val="28"/>
        <w:szCs w:val="28"/>
      </w:rPr>
      <w:t xml:space="preserve">                                                      </w:t>
    </w:r>
    <w:r w:rsidRPr="00ED0A74">
      <w:rPr>
        <w:rFonts w:ascii="Century Gothic" w:hAnsi="Century Gothic"/>
        <w:noProof/>
      </w:rPr>
      <w:drawing>
        <wp:inline distT="0" distB="0" distL="0" distR="0" wp14:anchorId="13FA651F" wp14:editId="080614E8">
          <wp:extent cx="1056640" cy="764540"/>
          <wp:effectExtent l="0" t="0" r="0" b="0"/>
          <wp:docPr id="6" name="Immagine 83154640" descr="Immagine che contiene logo, Carattere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154640" descr="Immagine che contiene logo, Carattere, Elementi grafici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30" r="17387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3C5D" w14:textId="77777777" w:rsidR="00DF71C8" w:rsidRPr="00C67F4E" w:rsidRDefault="008525D8" w:rsidP="00DF71C8">
    <w:pPr>
      <w:pStyle w:val="Paragrafobase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pict w14:anchorId="6C5CB60F">
        <v:rect id="_x0000_i1026" alt="" style="width:523pt;height:.05pt;mso-width-percent:0;mso-height-percent:0;mso-width-percent:0;mso-height-percent:0" o:hralign="center" o:hrstd="t" o:hr="t" fillcolor="#a0a0a0" stroked="f"/>
      </w:pict>
    </w:r>
  </w:p>
  <w:p w14:paraId="7F1B87E9" w14:textId="77777777" w:rsidR="00DF71C8" w:rsidRPr="00ED0A74" w:rsidRDefault="00DF71C8" w:rsidP="00DF71C8">
    <w:pPr>
      <w:pStyle w:val="Intestazione"/>
      <w:jc w:val="right"/>
      <w:rPr>
        <w:rFonts w:ascii="Century Gothic" w:hAnsi="Century Gothic"/>
        <w:iCs/>
        <w:color w:val="7F7F7F"/>
      </w:rPr>
    </w:pPr>
  </w:p>
  <w:p w14:paraId="5E39E476" w14:textId="77777777" w:rsidR="00DF71C8" w:rsidRDefault="00DF7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64"/>
    <w:multiLevelType w:val="hybridMultilevel"/>
    <w:tmpl w:val="7DAEEECA"/>
    <w:lvl w:ilvl="0" w:tplc="918ACB40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02B3C"/>
    <w:multiLevelType w:val="hybridMultilevel"/>
    <w:tmpl w:val="58C877D0"/>
    <w:lvl w:ilvl="0" w:tplc="306A9952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CB6"/>
    <w:multiLevelType w:val="hybridMultilevel"/>
    <w:tmpl w:val="CE982166"/>
    <w:lvl w:ilvl="0" w:tplc="01243F5A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D1F7F"/>
    <w:multiLevelType w:val="hybridMultilevel"/>
    <w:tmpl w:val="E82C668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BA77F3F"/>
    <w:multiLevelType w:val="hybridMultilevel"/>
    <w:tmpl w:val="AE6C03B4"/>
    <w:lvl w:ilvl="0" w:tplc="ADEEFBDC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0498">
    <w:abstractNumId w:val="3"/>
  </w:num>
  <w:num w:numId="2" w16cid:durableId="1304041903">
    <w:abstractNumId w:val="0"/>
  </w:num>
  <w:num w:numId="3" w16cid:durableId="252667504">
    <w:abstractNumId w:val="1"/>
  </w:num>
  <w:num w:numId="4" w16cid:durableId="1763524423">
    <w:abstractNumId w:val="4"/>
  </w:num>
  <w:num w:numId="5" w16cid:durableId="113413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0"/>
    <w:rsid w:val="00073DAC"/>
    <w:rsid w:val="000B3FD6"/>
    <w:rsid w:val="000E64CF"/>
    <w:rsid w:val="00163887"/>
    <w:rsid w:val="00173398"/>
    <w:rsid w:val="002146D0"/>
    <w:rsid w:val="002C33FA"/>
    <w:rsid w:val="003F225D"/>
    <w:rsid w:val="004164AE"/>
    <w:rsid w:val="00522921"/>
    <w:rsid w:val="006E7DCA"/>
    <w:rsid w:val="007F6CA9"/>
    <w:rsid w:val="008525D8"/>
    <w:rsid w:val="008E3B0F"/>
    <w:rsid w:val="00A07A6A"/>
    <w:rsid w:val="00A1050A"/>
    <w:rsid w:val="00B00297"/>
    <w:rsid w:val="00B23B07"/>
    <w:rsid w:val="00B6675D"/>
    <w:rsid w:val="00BE685C"/>
    <w:rsid w:val="00C67F4E"/>
    <w:rsid w:val="00C952D7"/>
    <w:rsid w:val="00D333D5"/>
    <w:rsid w:val="00D833B0"/>
    <w:rsid w:val="00DF71C8"/>
    <w:rsid w:val="00E31BF6"/>
    <w:rsid w:val="00ED0A74"/>
    <w:rsid w:val="00F062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macVmlSchemaUri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1A1FB"/>
  <w15:chartTrackingRefBased/>
  <w15:docId w15:val="{CA1E9BE4-893D-824F-9F42-D13D5BE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B0F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after="278"/>
    </w:pPr>
    <w:rPr>
      <w:rFonts w:ascii="Arial" w:eastAsia="Times New Roman" w:hAnsi="Arial"/>
      <w:noProof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F6CA9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6CA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F6CA9"/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97"/>
    <w:rPr>
      <w:sz w:val="24"/>
      <w:szCs w:val="24"/>
    </w:rPr>
  </w:style>
  <w:style w:type="paragraph" w:customStyle="1" w:styleId="Nessunostileparagrafo">
    <w:name w:val="[Nessuno stile paragrafo]"/>
    <w:rsid w:val="008E3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ja-JP"/>
    </w:rPr>
  </w:style>
  <w:style w:type="character" w:customStyle="1" w:styleId="introtestogenerico">
    <w:name w:val="intro testo generico"/>
    <w:uiPriority w:val="99"/>
    <w:rsid w:val="008E3B0F"/>
    <w:rPr>
      <w:rFonts w:ascii="Helvetica" w:hAnsi="Helvetica" w:cs="Helvetica"/>
      <w:sz w:val="18"/>
      <w:szCs w:val="18"/>
    </w:rPr>
  </w:style>
  <w:style w:type="table" w:styleId="Grigliatabella">
    <w:name w:val="Table Grid"/>
    <w:basedOn w:val="Tabellanormale"/>
    <w:uiPriority w:val="59"/>
    <w:rsid w:val="008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67F4E"/>
    <w:pPr>
      <w:jc w:val="both"/>
    </w:pPr>
    <w:rPr>
      <w:rFonts w:ascii="Times New Roman" w:eastAsia="Times New Roman" w:hAnsi="Times New Roman"/>
      <w:i/>
      <w:szCs w:val="20"/>
      <w:u w:val="single"/>
      <w:lang w:eastAsia="en-US"/>
    </w:rPr>
  </w:style>
  <w:style w:type="character" w:customStyle="1" w:styleId="Corpodeltesto2Carattere">
    <w:name w:val="Corpo del testo 2 Carattere"/>
    <w:link w:val="Corpodeltesto2"/>
    <w:semiHidden/>
    <w:rsid w:val="00C67F4E"/>
    <w:rPr>
      <w:rFonts w:ascii="Times New Roman" w:eastAsia="Times New Roman" w:hAnsi="Times New Roman" w:cs="Times New Roman"/>
      <w:i/>
      <w:sz w:val="24"/>
      <w:u w:val="single"/>
      <w:lang w:eastAsia="en-US"/>
    </w:rPr>
  </w:style>
  <w:style w:type="paragraph" w:styleId="NormaleWeb">
    <w:name w:val="Normal (Web)"/>
    <w:basedOn w:val="Normale"/>
    <w:uiPriority w:val="99"/>
    <w:unhideWhenUsed/>
    <w:rsid w:val="002146D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na/Downloads/VC_antiriflusso_CLASSICA_IT-EN-FR-REV0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529B1-B892-BD40-BE99-8CAF034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VC_antiriflusso_CLASSICA_IT-EN-FR-REV01 (1).dotx</Template>
  <TotalTime>10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VANNINI</dc:creator>
  <cp:keywords/>
  <dc:description/>
  <cp:lastModifiedBy>Giuliana Vannini</cp:lastModifiedBy>
  <cp:revision>1</cp:revision>
  <dcterms:created xsi:type="dcterms:W3CDTF">2023-11-30T12:33:00Z</dcterms:created>
  <dcterms:modified xsi:type="dcterms:W3CDTF">2023-11-30T12:46:00Z</dcterms:modified>
</cp:coreProperties>
</file>